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rPr>
          <w:b/>
          <w:bCs/>
          <w:color w:val="5B4FCF"/>
          <w:spacing w:val="80"/>
          <w:sz w:val="24"/>
          <w:szCs w:val="24"/>
        </w:rPr>
        <w:t xml:space="preserve">BUZZLEAD</w:t>
      </w:r>
    </w:p>
    <w:p>
      <w:pPr>
        <w:spacing w:after="120" w:before="200"/>
      </w:pPr>
      <w:r>
        <w:rPr>
          <w:b/>
          <w:bCs/>
          <w:color w:val="26235F"/>
          <w:sz w:val="60"/>
          <w:szCs w:val="60"/>
        </w:rPr>
        <w:t xml:space="preserve">Indigo Institute</w:t>
      </w:r>
    </w:p>
    <w:p>
      <w:pPr>
        <w:pBdr>
          <w:bottom w:val="single" w:color="5B4FCF" w:sz="12" w:space="8"/>
        </w:pBdr>
        <w:spacing w:after="240"/>
      </w:pPr>
      <w:r>
        <w:rPr>
          <w:color w:val="444455"/>
          <w:sz w:val="32"/>
          <w:szCs w:val="32"/>
        </w:rPr>
        <w:t xml:space="preserve">Outbound Strategy Brief</w:t>
      </w:r>
    </w:p>
    <w:p>
      <w:pPr>
        <w:spacing w:after="80" w:before="200"/>
      </w:pPr>
      <w:r>
        <w:rPr>
          <w:color w:val="444455"/>
          <w:sz w:val="22"/>
          <w:szCs w:val="22"/>
        </w:rPr>
        <w:t xml:space="preserve">Prepared for Josh Twiss, DDS and Kim Moore, JD</w:t>
      </w:r>
    </w:p>
    <w:p>
      <w:r>
        <w:rPr>
          <w:color w:val="444455"/>
          <w:sz w:val="22"/>
          <w:szCs w:val="22"/>
        </w:rPr>
        <w:t xml:space="preserve">BuzzLead  |  October 2026  |  For review ahead of Monday, October 26</w:t>
      </w:r>
    </w:p>
    <w:p>
      <w:r>
        <w:br w:type="page"/>
      </w:r>
    </w:p>
    <w:p>
      <w:pPr>
        <w:pStyle w:val="Heading1"/>
        <w:spacing w:after="140" w:before="280"/>
      </w:pPr>
      <w:r>
        <w:t xml:space="preserve">Executive summary</w:t>
      </w:r>
    </w:p>
    <w:p>
      <w:pPr>
        <w:pStyle w:val="ListParagraph"/>
        <w:numPr>
          <w:ilvl w:val="0"/>
          <w:numId w:val="2"/>
        </w:numPr>
        <w:spacing w:after="60"/>
      </w:pPr>
      <w:r>
        <w:rPr>
          <w:b/>
          <w:bCs/>
        </w:rPr>
        <w:t xml:space="preserve">What you asked for.</w:t>
      </w:r>
      <w:r>
        <w:t xml:space="preserve"> A recommendation on where outbound helps Indigo across three areas: finding students, reaching dental offices, and selling the new national test prep course (S1).</w:t>
      </w:r>
    </w:p>
    <w:p>
      <w:pPr>
        <w:pStyle w:val="ListParagraph"/>
        <w:numPr>
          <w:ilvl w:val="0"/>
          <w:numId w:val="2"/>
        </w:numPr>
        <w:spacing w:after="60"/>
      </w:pPr>
      <w:r>
        <w:rPr>
          <w:b/>
          <w:bCs/>
        </w:rPr>
        <w:t xml:space="preserve">How we organized it.</w:t>
      </w:r>
      <w:r>
        <w:t xml:space="preserve"> Four workstreams, each defined by what Indigo offers and who receives it. Two run by state, two run by campus city. Section 2 explains why.</w:t>
      </w:r>
    </w:p>
    <w:p>
      <w:pPr>
        <w:pStyle w:val="ListParagraph"/>
        <w:numPr>
          <w:ilvl w:val="0"/>
          <w:numId w:val="2"/>
        </w:numPr>
        <w:spacing w:after="60"/>
      </w:pPr>
      <w:r>
        <w:rPr>
          <w:b/>
          <w:bCs/>
        </w:rPr>
        <w:t xml:space="preserve">Where we fit.</w:t>
      </w:r>
      <w:r>
        <w:t xml:space="preserve"> Strong on three of the four: test prep to practices, dental office partnerships, and the organizations that guide students toward careers. The fourth, re-engaging your existing leads, is worth a controlled test. Bulk prospecting of individual job seekers is not something we do, and we say so in Section 3.</w:t>
      </w:r>
    </w:p>
    <w:p>
      <w:pPr>
        <w:pStyle w:val="ListParagraph"/>
        <w:numPr>
          <w:ilvl w:val="0"/>
          <w:numId w:val="2"/>
        </w:numPr>
        <w:spacing w:after="60"/>
      </w:pPr>
      <w:r>
        <w:rPr>
          <w:b/>
          <w:bCs/>
        </w:rPr>
        <w:t xml:space="preserve">Arizona is real but finite.</w:t>
      </w:r>
      <w:r>
        <w:t xml:space="preserve"> Roughly 4,000 dental practices, about 900 of them multi-location (S7). That is a strong first campaign, and it also means test prep should sit alongside the campus work rather than carry the engagement alone.</w:t>
      </w:r>
    </w:p>
    <w:p>
      <w:pPr>
        <w:pStyle w:val="ListParagraph"/>
        <w:numPr>
          <w:ilvl w:val="0"/>
          <w:numId w:val="2"/>
        </w:numPr>
        <w:spacing w:after="60"/>
      </w:pPr>
      <w:r>
        <w:rPr>
          <w:b/>
          <w:bCs/>
        </w:rPr>
        <w:t xml:space="preserve">Pricing is by location.</w:t>
      </w:r>
      <w:r>
        <w:t xml:space="preserve"> One package per location with a fixed set of campaigns and deliverables, so the cost is predictable as you add campuses or states. Section 7.</w:t>
      </w:r>
    </w:p>
    <w:p>
      <w:pPr>
        <w:pStyle w:val="ListParagraph"/>
        <w:numPr>
          <w:ilvl w:val="0"/>
          <w:numId w:val="2"/>
        </w:numPr>
        <w:spacing w:after="60"/>
      </w:pPr>
      <w:r>
        <w:rPr>
          <w:b/>
          <w:bCs/>
        </w:rPr>
        <w:t xml:space="preserve">Timing.</w:t>
      </w:r>
      <w:r>
        <w:t xml:space="preserve"> About two weeks from signed agreement to first send, so a mid-November start lands before year end (S1).</w:t>
      </w:r>
    </w:p>
    <w:p>
      <w:pPr>
        <w:pStyle w:val="Heading1"/>
        <w:spacing w:after="140" w:before="280"/>
      </w:pPr>
      <w:r>
        <w:t xml:space="preserve">1. What we heard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930"/>
        <w:gridCol w:w="3930"/>
      </w:tblGrid>
      <w:tr>
        <w:trPr>
          <w:tblHeader/>
        </w:trPr>
        <w:tc>
          <w:tcPr>
            <w:tcW w:type="dxa" w:w="15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Area</w:t>
            </w:r>
          </w:p>
        </w:tc>
        <w:tc>
          <w:tcPr>
            <w:tcW w:type="dxa" w:w="393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Josh</w:t>
            </w:r>
          </w:p>
        </w:tc>
        <w:tc>
          <w:tcPr>
            <w:tcW w:type="dxa" w:w="393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Kim</w:t>
            </w:r>
          </w:p>
        </w:tc>
      </w:tr>
      <w:tr>
        <w:trPr>
          <w:cantSplit w:val="false"/>
        </w:trPr>
        <w:tc>
          <w:tcPr>
            <w:tcW w:type="dxa" w:w="1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Find students</w:t>
            </w:r>
          </w:p>
        </w:tc>
        <w:tc>
          <w:tcPr>
            <w:tcW w:type="dxa" w:w="393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Lower acquisition cost than job boards, tested in a large city (Dallas) and a small one (Napa or Myrtle Beach). Re-engage the roughly 90,000 existing leads and show them the new platform.</w:t>
            </w:r>
          </w:p>
        </w:tc>
        <w:tc>
          <w:tcPr>
            <w:tcW w:type="dxa" w:w="393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Reach women 18 to 25. Doubts direct email is the right channel for that group but will test it. Wants new routes through offices, groups, employment centers, universities and high school counselors.</w:t>
            </w:r>
          </w:p>
        </w:tc>
      </w:tr>
      <w:tr>
        <w:trPr>
          <w:cantSplit w:val="false"/>
        </w:trPr>
        <w:tc>
          <w:tcPr>
            <w:tcW w:type="dxa" w:w="1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Dental offices</w:t>
            </w:r>
          </w:p>
        </w:tc>
        <w:tc>
          <w:tcPr>
            <w:tcW w:type="dxa" w:w="393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Invite offices to the placement portal and ask them to refer people who would make good assistants.</w:t>
            </w:r>
          </w:p>
        </w:tc>
        <w:tc>
          <w:tcPr>
            <w:tcW w:type="dxa" w:w="393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The strongest application on the student side. Placement plus teaching partnerships. Wants a list of places to hit.</w:t>
            </w:r>
          </w:p>
        </w:tc>
      </w:tr>
      <w:tr>
        <w:trPr>
          <w:cantSplit w:val="false"/>
        </w:trPr>
        <w:tc>
          <w:tcPr>
            <w:tcW w:type="dxa" w:w="1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Test prep</w:t>
            </w:r>
          </w:p>
        </w:tc>
        <w:tc>
          <w:tcPr>
            <w:tcW w:type="dxa" w:w="393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Start in Arizona. The exam is accepted in roughly 37 states (per Josh), so expand later.</w:t>
            </w:r>
          </w:p>
        </w:tc>
        <w:tc>
          <w:tcPr>
            <w:tcW w:type="dxa" w:w="393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Multi-practice groups, private equity roll-ups, and every Arizona dentist with staff who are not yet certified.</w:t>
            </w:r>
          </w:p>
        </w:tc>
      </w:tr>
      <w:tr>
        <w:trPr>
          <w:cantSplit w:val="false"/>
        </w:trPr>
        <w:tc>
          <w:tcPr>
            <w:tcW w:type="dxa" w:w="1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How it runs</w:t>
            </w:r>
          </w:p>
        </w:tc>
        <w:tc>
          <w:tcPr>
            <w:tcW w:type="dxa" w:w="393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Something in place before year end. A marketing hire arrives in two to three weeks and becomes the point person.</w:t>
            </w:r>
          </w:p>
        </w:tc>
        <w:tc>
          <w:tcPr>
            <w:tcW w:type="dxa" w:w="393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Brand control, real examples of the emails, a fit with Indigo’s own screening and scheduling, and a written plan in advance.</w:t>
            </w:r>
          </w:p>
        </w:tc>
      </w:tr>
    </w:tbl>
    <w:p>
      <w:pPr>
        <w:spacing w:after="120" w:before="60"/>
      </w:pPr>
      <w:r>
        <w:t xml:space="preserve">Source: call recording, October 20 (S1).</w:t>
      </w:r>
    </w:p>
    <w:p>
      <w:pPr>
        <w:pStyle w:val="Heading1"/>
        <w:spacing w:after="140" w:before="280"/>
      </w:pPr>
      <w:r>
        <w:t xml:space="preserve">2. How the work is organized</w:t>
      </w:r>
    </w:p>
    <w:p>
      <w:pPr>
        <w:spacing w:after="120" w:before="0"/>
      </w:pPr>
      <w:r>
        <w:t xml:space="preserve">On the call, locations came up two ways and they were never the same map. Test prep follows state regulation, so it runs by state. The school follows where Indigo has a campus, so it runs by city. We keep them separate and define each workstream by the offer and the audience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2000"/>
        <w:gridCol w:w="1300"/>
        <w:gridCol w:w="1260"/>
      </w:tblGrid>
      <w:tr>
        <w:trPr>
          <w:tblHeader/>
        </w:trPr>
        <w:tc>
          <w:tcPr>
            <w:tcW w:type="dxa" w:w="23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Workstream</w:t>
            </w:r>
          </w:p>
        </w:tc>
        <w:tc>
          <w:tcPr>
            <w:tcW w:type="dxa" w:w="25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Indigo offers</w:t>
            </w:r>
          </w:p>
        </w:tc>
        <w:tc>
          <w:tcPr>
            <w:tcW w:type="dxa" w:w="20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We contact</w:t>
            </w:r>
          </w:p>
        </w:tc>
        <w:tc>
          <w:tcPr>
            <w:tcW w:type="dxa" w:w="13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Runs by</w:t>
            </w:r>
          </w:p>
        </w:tc>
        <w:tc>
          <w:tcPr>
            <w:tcW w:type="dxa" w:w="12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Fit</w:t>
            </w:r>
          </w:p>
        </w:tc>
      </w:tr>
      <w:tr>
        <w:trPr>
          <w:cantSplit w:val="false"/>
        </w:trPr>
        <w:tc>
          <w:tcPr>
            <w:tcW w:type="dxa" w:w="23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1. Test prep</w:t>
            </w:r>
          </w:p>
        </w:tc>
        <w:tc>
          <w:tcPr>
            <w:tcW w:type="dxa" w:w="2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The national dental assistant test prep course</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Dental practices and groups</w:t>
            </w:r>
          </w:p>
        </w:tc>
        <w:tc>
          <w:tcPr>
            <w:tcW w:type="dxa" w:w="13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State (Arizona first)</w:t>
            </w:r>
          </w:p>
        </w:tc>
        <w:tc>
          <w:tcPr>
            <w:tcW w:type="dxa" w:w="12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Strong</w:t>
            </w:r>
          </w:p>
        </w:tc>
      </w:tr>
      <w:tr>
        <w:trPr>
          <w:cantSplit w:val="false"/>
        </w:trPr>
        <w:tc>
          <w:tcPr>
            <w:tcW w:type="dxa" w:w="23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2. Office partnerships</w:t>
            </w:r>
          </w:p>
        </w:tc>
        <w:tc>
          <w:tcPr>
            <w:tcW w:type="dxa" w:w="2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Placement portal, hosting, student referrals</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Dental offices near each campus</w:t>
            </w:r>
          </w:p>
        </w:tc>
        <w:tc>
          <w:tcPr>
            <w:tcW w:type="dxa" w:w="13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Campus city</w:t>
            </w:r>
          </w:p>
        </w:tc>
        <w:tc>
          <w:tcPr>
            <w:tcW w:type="dxa" w:w="12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Strong</w:t>
            </w:r>
          </w:p>
        </w:tc>
      </w:tr>
      <w:tr>
        <w:trPr>
          <w:cantSplit w:val="false"/>
        </w:trPr>
        <w:tc>
          <w:tcPr>
            <w:tcW w:type="dxa" w:w="23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3. Career gatekeepers</w:t>
            </w:r>
          </w:p>
        </w:tc>
        <w:tc>
          <w:tcPr>
            <w:tcW w:type="dxa" w:w="2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 fast, placement-backed path into dental assisting</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Counselors, career centers, workforce boards</w:t>
            </w:r>
          </w:p>
        </w:tc>
        <w:tc>
          <w:tcPr>
            <w:tcW w:type="dxa" w:w="13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Campus city</w:t>
            </w:r>
          </w:p>
        </w:tc>
        <w:tc>
          <w:tcPr>
            <w:tcW w:type="dxa" w:w="12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Strong, slower</w:t>
            </w:r>
          </w:p>
        </w:tc>
      </w:tr>
      <w:tr>
        <w:trPr>
          <w:cantSplit w:val="false"/>
        </w:trPr>
        <w:tc>
          <w:tcPr>
            <w:tcW w:type="dxa" w:w="23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4. Existing leads</w:t>
            </w:r>
          </w:p>
        </w:tc>
        <w:tc>
          <w:tcPr>
            <w:tcW w:type="dxa" w:w="2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 second look at Indigo, with the new platform</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Opted-in applicants in your CRM</w:t>
            </w:r>
          </w:p>
        </w:tc>
        <w:tc>
          <w:tcPr>
            <w:tcW w:type="dxa" w:w="13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Campus city</w:t>
            </w:r>
          </w:p>
        </w:tc>
        <w:tc>
          <w:tcPr>
            <w:tcW w:type="dxa" w:w="12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Test</w:t>
            </w:r>
          </w:p>
        </w:tc>
      </w:tr>
    </w:tbl>
    <w:p>
      <w:pPr>
        <w:pStyle w:val="Heading1"/>
        <w:spacing w:after="140" w:before="280"/>
      </w:pPr>
      <w:r>
        <w:t xml:space="preserve">3. Where we fit, and where we do not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val="false"/>
        </w:trPr>
        <w:tc>
          <w:tcPr>
            <w:tcW w:type="dxa" w:w="2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Strong fit</w:t>
            </w:r>
          </w:p>
        </w:tc>
        <w:tc>
          <w:tcPr>
            <w:tcW w:type="dxa" w:w="71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Workstreams 1 to 3. Each is a business with a website, a named decision maker, and a reason to care. That is what our research, signals and reply handling are built for.</w:t>
            </w:r>
          </w:p>
        </w:tc>
      </w:tr>
      <w:tr>
        <w:trPr>
          <w:cantSplit w:val="false"/>
        </w:trPr>
        <w:tc>
          <w:tcPr>
            <w:tcW w:type="dxa" w:w="2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Worth a test</w:t>
            </w:r>
          </w:p>
        </w:tc>
        <w:tc>
          <w:tcPr>
            <w:tcW w:type="dxa" w:w="71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Workstream 4. Your leads already raised a hand, so messaging them is legitimate. It is nurture work rather than prospecting, and Kim and Marianne doubt email is the right channel for 18 to 25 year olds (S1). A measured slice settles that with data instead of opinion.</w:t>
            </w:r>
          </w:p>
        </w:tc>
      </w:tr>
      <w:tr>
        <w:trPr>
          <w:cantSplit w:val="false"/>
        </w:trPr>
        <w:tc>
          <w:tcPr>
            <w:tcW w:type="dxa" w:w="2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Not us</w:t>
            </w:r>
          </w:p>
        </w:tc>
        <w:tc>
          <w:tcPr>
            <w:tcW w:type="dxa" w:w="71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Cold outreach to individual job seekers who have never heard of Indigo. Consumer cold email is a gray area and not where we are effective. Indigo’s job-board motion already works for that, and we do not propose replacing it.</w:t>
            </w:r>
          </w:p>
        </w:tc>
      </w:tr>
    </w:tbl>
    <w:p>
      <w:pPr>
        <w:pStyle w:val="Heading1"/>
        <w:spacing w:after="140" w:before="280"/>
      </w:pPr>
      <w:r>
        <w:t xml:space="preserve">4. Workstream 1: Test prep to dental practices</w:t>
      </w:r>
    </w:p>
    <w:p>
      <w:pPr>
        <w:pStyle w:val="Heading3"/>
        <w:spacing w:after="80" w:before="160"/>
      </w:pPr>
      <w:r>
        <w:t xml:space="preserve">Who we contact</w:t>
      </w:r>
    </w:p>
    <w:p>
      <w:pPr>
        <w:pStyle w:val="ListParagraph"/>
        <w:numPr>
          <w:ilvl w:val="0"/>
          <w:numId w:val="2"/>
        </w:numPr>
        <w:spacing w:after="60"/>
      </w:pPr>
      <w:r>
        <w:rPr>
          <w:b/>
          <w:bCs/>
        </w:rPr>
        <w:t xml:space="preserve">Groups:</w:t>
      </w:r>
      <w:r>
        <w:t xml:space="preserve"> COO and VP Operations, regional managers, clinical training or compliance leads, HR or talent leads at multi-location groups and DSOs.</w:t>
      </w:r>
    </w:p>
    <w:p>
      <w:pPr>
        <w:pStyle w:val="ListParagraph"/>
        <w:numPr>
          <w:ilvl w:val="0"/>
          <w:numId w:val="2"/>
        </w:numPr>
        <w:spacing w:after="60"/>
      </w:pPr>
      <w:r>
        <w:rPr>
          <w:b/>
          <w:bCs/>
        </w:rPr>
        <w:t xml:space="preserve">Independents:</w:t>
      </w:r>
      <w:r>
        <w:t xml:space="preserve"> practice owners and office managers.</w:t>
      </w:r>
    </w:p>
    <w:p>
      <w:pPr>
        <w:pStyle w:val="Heading3"/>
        <w:spacing w:after="80" w:before="160"/>
      </w:pPr>
      <w:r>
        <w:t xml:space="preserve">Why they respond</w:t>
      </w:r>
    </w:p>
    <w:p>
      <w:pPr>
        <w:pStyle w:val="ListParagraph"/>
        <w:numPr>
          <w:ilvl w:val="0"/>
          <w:numId w:val="2"/>
        </w:numPr>
        <w:spacing w:after="60"/>
      </w:pPr>
      <w:r>
        <w:t xml:space="preserve">Arizona dental assistants need passing DANB exam results to legally take x-rays, and a DANB exam plus a state certificate to perform coronal polishing (S5, S6).</w:t>
      </w:r>
    </w:p>
    <w:p>
      <w:pPr>
        <w:pStyle w:val="ListParagraph"/>
        <w:numPr>
          <w:ilvl w:val="0"/>
          <w:numId w:val="2"/>
        </w:numPr>
        <w:spacing w:after="60"/>
      </w:pPr>
      <w:r>
        <w:t xml:space="preserve">A recent Arizona law creating an oral preventive assistant role requires those certifications first, which adds pressure to certify more staff (S8).</w:t>
      </w:r>
    </w:p>
    <w:p>
      <w:pPr>
        <w:pStyle w:val="ListParagraph"/>
        <w:numPr>
          <w:ilvl w:val="0"/>
          <w:numId w:val="2"/>
        </w:numPr>
        <w:spacing w:after="60"/>
      </w:pPr>
      <w:r>
        <w:t xml:space="preserve">About 22% of Arizona dentists are affiliated with a dental service organization, among the highest rates in the country, so a few buyers cover many offices (S9).</w:t>
      </w:r>
    </w:p>
    <w:p>
      <w:pPr>
        <w:pStyle w:val="Heading3"/>
        <w:spacing w:after="80" w:before="160"/>
      </w:pPr>
      <w:r>
        <w:t xml:space="preserve">Market size: Arizona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200"/>
        <w:gridCol w:w="3560"/>
      </w:tblGrid>
      <w:tr>
        <w:trPr>
          <w:tblHeader/>
        </w:trPr>
        <w:tc>
          <w:tcPr>
            <w:tcW w:type="dxa" w:w="36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Segment</w:t>
            </w:r>
          </w:p>
        </w:tc>
        <w:tc>
          <w:tcPr>
            <w:tcW w:type="dxa" w:w="22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Count</w:t>
            </w:r>
          </w:p>
        </w:tc>
        <w:tc>
          <w:tcPr>
            <w:tcW w:type="dxa" w:w="35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Note</w:t>
            </w:r>
          </w:p>
        </w:tc>
      </w:tr>
      <w:tr>
        <w:trPr>
          <w:cantSplit w:val="false"/>
        </w:trPr>
        <w:tc>
          <w:tcPr>
            <w:tcW w:type="dxa" w:w="3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Active dental practices, statewide</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about 3,990</w:t>
            </w:r>
          </w:p>
        </w:tc>
        <w:tc>
          <w:tcPr>
            <w:tcW w:type="dxa" w:w="35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Business directory count (S7)</w:t>
            </w:r>
          </w:p>
        </w:tc>
      </w:tr>
      <w:tr>
        <w:trPr>
          <w:cantSplit w:val="false"/>
        </w:trPr>
        <w:tc>
          <w:tcPr>
            <w:tcW w:type="dxa" w:w="3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Multi-location practices</w:t>
            </w:r>
          </w:p>
        </w:tc>
        <w:tc>
          <w:tcPr>
            <w:tcW w:type="dxa" w:w="22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about 930</w:t>
            </w:r>
          </w:p>
        </w:tc>
        <w:tc>
          <w:tcPr>
            <w:tcW w:type="dxa" w:w="35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The priority segment (S7)</w:t>
            </w:r>
          </w:p>
        </w:tc>
      </w:tr>
      <w:tr>
        <w:trPr>
          <w:cantSplit w:val="false"/>
        </w:trPr>
        <w:tc>
          <w:tcPr>
            <w:tcW w:type="dxa" w:w="3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Single-location independents</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about 3,060</w:t>
            </w:r>
          </w:p>
        </w:tc>
        <w:tc>
          <w:tcPr>
            <w:tcW w:type="dxa" w:w="35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Long tail, reached at volume (S7)</w:t>
            </w:r>
          </w:p>
        </w:tc>
      </w:tr>
      <w:tr>
        <w:trPr>
          <w:cantSplit w:val="false"/>
        </w:trPr>
        <w:tc>
          <w:tcPr>
            <w:tcW w:type="dxa" w:w="3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Phoenix metro</w:t>
            </w:r>
          </w:p>
        </w:tc>
        <w:tc>
          <w:tcPr>
            <w:tcW w:type="dxa" w:w="22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about 2,870</w:t>
            </w:r>
          </w:p>
        </w:tc>
        <w:tc>
          <w:tcPr>
            <w:tcW w:type="dxa" w:w="35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Most of the state (S7)</w:t>
            </w:r>
          </w:p>
        </w:tc>
      </w:tr>
      <w:tr>
        <w:trPr>
          <w:cantSplit w:val="false"/>
        </w:trPr>
        <w:tc>
          <w:tcPr>
            <w:tcW w:type="dxa" w:w="3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Tucson metro</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about 550</w:t>
            </w:r>
          </w:p>
        </w:tc>
        <w:tc>
          <w:tcPr>
            <w:tcW w:type="dxa" w:w="35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(S7)</w:t>
            </w:r>
          </w:p>
        </w:tc>
      </w:tr>
      <w:tr>
        <w:trPr>
          <w:cantSplit w:val="false"/>
        </w:trPr>
        <w:tc>
          <w:tcPr>
            <w:tcW w:type="dxa" w:w="3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Active general dentists</w:t>
            </w:r>
          </w:p>
        </w:tc>
        <w:tc>
          <w:tcPr>
            <w:tcW w:type="dxa" w:w="22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3,344</w:t>
            </w:r>
          </w:p>
        </w:tc>
        <w:tc>
          <w:tcPr>
            <w:tcW w:type="dxa" w:w="35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Becker’s, for comparison (S10)</w:t>
            </w:r>
          </w:p>
        </w:tc>
      </w:tr>
    </w:tbl>
    <w:p>
      <w:pPr>
        <w:spacing w:after="120" w:before="60"/>
      </w:pPr>
      <w:r>
        <w:t xml:space="preserve">Read: a well-sized single campaign. Additional states each add a comparable list, and Indigo’s list of states where the course applies decides which come next.</w:t>
      </w:r>
    </w:p>
    <w:p>
      <w:pPr>
        <w:pStyle w:val="Heading3"/>
        <w:spacing w:after="80" w:before="160"/>
      </w:pPr>
      <w:r>
        <w:t xml:space="preserve">Signals we watch</w:t>
      </w:r>
    </w:p>
    <w:p>
      <w:pPr>
        <w:pStyle w:val="ListParagraph"/>
        <w:numPr>
          <w:ilvl w:val="0"/>
          <w:numId w:val="2"/>
        </w:numPr>
        <w:spacing w:after="60"/>
      </w:pPr>
      <w:r>
        <w:t xml:space="preserve">Dental assistant postings that mention DANB, radiography or certification.</w:t>
      </w:r>
    </w:p>
    <w:p>
      <w:pPr>
        <w:pStyle w:val="ListParagraph"/>
        <w:numPr>
          <w:ilvl w:val="0"/>
          <w:numId w:val="2"/>
        </w:numPr>
        <w:spacing w:after="60"/>
      </w:pPr>
      <w:r>
        <w:t xml:space="preserve">New office openings and group acquisitions.</w:t>
      </w:r>
    </w:p>
    <w:p>
      <w:pPr>
        <w:pStyle w:val="ListParagraph"/>
        <w:numPr>
          <w:ilvl w:val="0"/>
          <w:numId w:val="2"/>
        </w:numPr>
        <w:spacing w:after="60"/>
      </w:pPr>
      <w:r>
        <w:t xml:space="preserve">Regulatory changes affecting assistant duties.</w:t>
      </w:r>
    </w:p>
    <w:p>
      <w:pPr>
        <w:pStyle w:val="ListParagraph"/>
        <w:numPr>
          <w:ilvl w:val="0"/>
          <w:numId w:val="2"/>
        </w:numPr>
        <w:spacing w:after="60"/>
      </w:pPr>
      <w:r>
        <w:t xml:space="preserve">Activity in state dental association and community groups.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C9D6" w:sz="4"/>
              <w:left w:val="single" w:color="5B4FCF" w:sz="24"/>
              <w:bottom w:val="single" w:color="C9C9D6" w:sz="4"/>
              <w:right w:val="single" w:color="C9C9D6" w:sz="4"/>
            </w:tcBorders>
            <w:shd w:fill="EEEDFA" w:color="auto" w:val="clear"/>
            <w:tcMar>
              <w:top w:type="dxa" w:w="100"/>
              <w:left w:type="dxa" w:w="160"/>
              <w:bottom w:type="dxa" w:w="100"/>
              <w:right w:type="dxa" w:w="140"/>
            </w:tcMar>
          </w:tcPr>
          <w:p>
            <w:pPr>
              <w:spacing w:after="60"/>
            </w:pPr>
            <w:r>
              <w:rPr>
                <w:b/>
                <w:bCs/>
                <w:sz w:val="20"/>
                <w:szCs w:val="20"/>
              </w:rPr>
              <w:t xml:space="preserve">Before launch:</w:t>
            </w:r>
            <w:r>
              <w:rPr>
                <w:sz w:val="20"/>
                <w:szCs w:val="20"/>
              </w:rPr>
              <w:t xml:space="preserve"> confirm which exams the course covers, the price, and how it is sold (per seat, per practice, per group). Josh noted the sales process for test prep is not built yet (S1), so meetings we book need someone ready to take them.</w:t>
            </w:r>
          </w:p>
        </w:tc>
      </w:tr>
    </w:tbl>
    <w:p>
      <w:pPr>
        <w:pStyle w:val="Heading1"/>
        <w:spacing w:after="140" w:before="280"/>
      </w:pPr>
      <w:r>
        <w:t xml:space="preserve">5. Workstream 2: Dental office partnerships</w:t>
      </w:r>
    </w:p>
    <w:p>
      <w:pPr>
        <w:pStyle w:val="Heading3"/>
        <w:spacing w:after="80" w:before="160"/>
      </w:pPr>
      <w:r>
        <w:t xml:space="preserve">Who we contact</w:t>
      </w:r>
    </w:p>
    <w:p>
      <w:pPr>
        <w:pStyle w:val="ListParagraph"/>
        <w:numPr>
          <w:ilvl w:val="0"/>
          <w:numId w:val="2"/>
        </w:numPr>
        <w:spacing w:after="60"/>
      </w:pPr>
      <w:r>
        <w:t xml:space="preserve">Practice owners, office managers, DSO regional recruiters and operations leads, within commuting range of each campus.</w:t>
      </w:r>
    </w:p>
    <w:p>
      <w:pPr>
        <w:pStyle w:val="Heading3"/>
        <w:spacing w:after="80" w:before="160"/>
      </w:pPr>
      <w:r>
        <w:t xml:space="preserve">The offer</w:t>
      </w:r>
    </w:p>
    <w:p>
      <w:pPr>
        <w:pStyle w:val="ListParagraph"/>
        <w:numPr>
          <w:ilvl w:val="0"/>
          <w:numId w:val="2"/>
        </w:numPr>
        <w:spacing w:after="60"/>
      </w:pPr>
      <w:r>
        <w:rPr>
          <w:b/>
          <w:bCs/>
        </w:rPr>
        <w:t xml:space="preserve">Placement:</w:t>
      </w:r>
      <w:r>
        <w:t xml:space="preserve"> access to the portal and to graduates before they enter the market, backed by Indigo’s published placement promise (S2, S4).</w:t>
      </w:r>
    </w:p>
    <w:p>
      <w:pPr>
        <w:pStyle w:val="ListParagraph"/>
        <w:numPr>
          <w:ilvl w:val="0"/>
          <w:numId w:val="2"/>
        </w:numPr>
        <w:spacing w:after="60"/>
      </w:pPr>
      <w:r>
        <w:rPr>
          <w:b/>
          <w:bCs/>
        </w:rPr>
        <w:t xml:space="preserve">Hosting:</w:t>
      </w:r>
      <w:r>
        <w:t xml:space="preserve"> Indigo’s model runs Saturday sessions in network offices (S2, S3). Offices that host get first look at graduates.</w:t>
      </w:r>
    </w:p>
    <w:p>
      <w:pPr>
        <w:pStyle w:val="ListParagraph"/>
        <w:numPr>
          <w:ilvl w:val="0"/>
          <w:numId w:val="2"/>
        </w:numPr>
        <w:spacing w:after="60"/>
      </w:pPr>
      <w:r>
        <w:rPr>
          <w:b/>
          <w:bCs/>
        </w:rPr>
        <w:t xml:space="preserve">Referrals:</w:t>
      </w:r>
      <w:r>
        <w:t xml:space="preserve"> every message asks the office to refer front-desk staff, patients or acquaintances who would make good assistants. That feeds the school from the same campaign.</w:t>
      </w:r>
    </w:p>
    <w:p>
      <w:pPr>
        <w:pStyle w:val="Heading3"/>
        <w:spacing w:after="80" w:before="160"/>
      </w:pPr>
      <w:r>
        <w:t xml:space="preserve">Why they respond</w:t>
      </w:r>
    </w:p>
    <w:p>
      <w:pPr>
        <w:spacing w:after="120" w:before="0"/>
      </w:pPr>
      <w:r>
        <w:t xml:space="preserve">A practice that is already hiring gets trained local candidates without a job-board spend or a recruiter fee.</w:t>
      </w:r>
    </w:p>
    <w:p>
      <w:pPr>
        <w:pStyle w:val="Heading3"/>
        <w:spacing w:after="80" w:before="160"/>
      </w:pPr>
      <w:r>
        <w:t xml:space="preserve">Signals we watch</w:t>
      </w:r>
    </w:p>
    <w:p>
      <w:pPr>
        <w:pStyle w:val="ListParagraph"/>
        <w:numPr>
          <w:ilvl w:val="0"/>
          <w:numId w:val="2"/>
        </w:numPr>
        <w:spacing w:after="60"/>
      </w:pPr>
      <w:r>
        <w:t xml:space="preserve">Open dental assistant roles in the pilot market, often the week they post.</w:t>
      </w:r>
    </w:p>
    <w:p>
      <w:pPr>
        <w:pStyle w:val="ListParagraph"/>
        <w:numPr>
          <w:ilvl w:val="0"/>
          <w:numId w:val="2"/>
        </w:numPr>
        <w:spacing w:after="60"/>
      </w:pPr>
      <w:r>
        <w:t xml:space="preserve">New practice openings and expansions.</w:t>
      </w:r>
    </w:p>
    <w:p>
      <w:pPr>
        <w:pStyle w:val="ListParagraph"/>
        <w:numPr>
          <w:ilvl w:val="0"/>
          <w:numId w:val="2"/>
        </w:numPr>
        <w:spacing w:after="60"/>
      </w:pPr>
      <w:r>
        <w:t xml:space="preserve">Social posts about hiring or staffing.</w:t>
      </w:r>
    </w:p>
    <w:p>
      <w:pPr>
        <w:pStyle w:val="Heading3"/>
        <w:spacing w:after="80" w:before="160"/>
      </w:pPr>
      <w:r>
        <w:t xml:space="preserve">Market size: pilot cities</w:t>
      </w:r>
    </w:p>
    <w:p>
      <w:pPr>
        <w:spacing w:after="120" w:before="0"/>
      </w:pPr>
      <w:r>
        <w:t xml:space="preserve">Office counts for Myrtle Beach and the second pilot city (Dallas or Napa) are mapped during onboarding, once the cities are confirmed. We size the list before anything sends and share the numbers.</w:t>
      </w:r>
    </w:p>
    <w:p>
      <w:pPr>
        <w:pStyle w:val="Heading1"/>
        <w:spacing w:after="140" w:before="280"/>
      </w:pPr>
      <w:r>
        <w:t xml:space="preserve">6. Workstream 3: Career gatekeepers</w:t>
      </w:r>
    </w:p>
    <w:p>
      <w:pPr>
        <w:spacing w:after="120" w:before="0"/>
      </w:pPr>
      <w:r>
        <w:t xml:space="preserve">Kim asked about employment centers, universities, high school counselors and groups (S1). These organizations touch the 18 to 25 audience every day and are measured on getting people into work. They are a clean B2B audience. The angle mirrors the office play: Indigo becomes a resource they can point people 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2500"/>
        <w:gridCol w:w="2260"/>
      </w:tblGrid>
      <w:tr>
        <w:trPr>
          <w:tblHeader/>
        </w:trPr>
        <w:tc>
          <w:tcPr>
            <w:tcW w:type="dxa" w:w="20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Bucket</w:t>
            </w:r>
          </w:p>
        </w:tc>
        <w:tc>
          <w:tcPr>
            <w:tcW w:type="dxa" w:w="26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Who we contact</w:t>
            </w:r>
          </w:p>
        </w:tc>
        <w:tc>
          <w:tcPr>
            <w:tcW w:type="dxa" w:w="25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What Indigo offers</w:t>
            </w:r>
          </w:p>
        </w:tc>
        <w:tc>
          <w:tcPr>
            <w:tcW w:type="dxa" w:w="22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Why they say yes</w:t>
            </w:r>
          </w:p>
        </w:tc>
      </w:tr>
      <w:tr>
        <w:trPr>
          <w:cantSplit w:val="false"/>
        </w:trPr>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High schools</w:t>
            </w:r>
          </w:p>
        </w:tc>
        <w:tc>
          <w:tcPr>
            <w:tcW w:type="dxa" w:w="2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Counselors, CTE directors, health-science teachers</w:t>
            </w:r>
          </w:p>
        </w:tc>
        <w:tc>
          <w:tcPr>
            <w:tcW w:type="dxa" w:w="2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 10-week, Saturdays-only path to a job, with a 90-day employment promise (S4)</w:t>
            </w:r>
          </w:p>
        </w:tc>
        <w:tc>
          <w:tcPr>
            <w:tcW w:type="dxa" w:w="22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Credible non-college options for seniors</w:t>
            </w:r>
          </w:p>
        </w:tc>
      </w:tr>
      <w:tr>
        <w:trPr>
          <w:cantSplit w:val="false"/>
        </w:trPr>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Community colleges and universities</w:t>
            </w:r>
          </w:p>
        </w:tc>
        <w:tc>
          <w:tcPr>
            <w:tcW w:type="dxa" w:w="2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Career services directors, job board managers, allied health advisors</w:t>
            </w:r>
          </w:p>
        </w:tc>
        <w:tc>
          <w:tcPr>
            <w:tcW w:type="dxa" w:w="2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 listing on their board, career fair presence, a referral path for students who stall</w:t>
            </w:r>
          </w:p>
        </w:tc>
        <w:tc>
          <w:tcPr>
            <w:tcW w:type="dxa" w:w="22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Placement outcomes are their metric</w:t>
            </w:r>
          </w:p>
        </w:tc>
      </w:tr>
      <w:tr>
        <w:trPr>
          <w:cantSplit w:val="false"/>
        </w:trPr>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Workforce and employment centers</w:t>
            </w:r>
          </w:p>
        </w:tc>
        <w:tc>
          <w:tcPr>
            <w:tcW w:type="dxa" w:w="2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Program managers, career counselors, WIOA coordinators</w:t>
            </w:r>
          </w:p>
        </w:tc>
        <w:tc>
          <w:tcPr>
            <w:tcW w:type="dxa" w:w="25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A short, placement-backed program for adult career changers</w:t>
            </w:r>
          </w:p>
        </w:tc>
        <w:tc>
          <w:tcPr>
            <w:tcW w:type="dxa" w:w="22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They are funded on employment results</w:t>
            </w:r>
          </w:p>
        </w:tc>
      </w:tr>
      <w:tr>
        <w:trPr>
          <w:cantSplit w:val="false"/>
        </w:trPr>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Youth and community organizations</w:t>
            </w:r>
          </w:p>
        </w:tc>
        <w:tc>
          <w:tcPr>
            <w:tcW w:type="dxa" w:w="2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Program directors at clubs and nonprofits</w:t>
            </w:r>
          </w:p>
        </w:tc>
        <w:tc>
          <w:tcPr>
            <w:tcW w:type="dxa" w:w="25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Info sessions and a referral relationship</w:t>
            </w:r>
          </w:p>
        </w:tc>
        <w:tc>
          <w:tcPr>
            <w:tcW w:type="dxa" w:w="22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Their members are the target demographic</w:t>
            </w:r>
          </w:p>
        </w:tc>
      </w:tr>
    </w:tbl>
    <w:p>
      <w:pPr>
        <w:spacing w:after="120" w:before="60"/>
      </w:pPr>
      <w:r>
        <w:t xml:space="preserve">Expect this to move slower than offices. Counselors have no budget and full inboxes. The payoff is a referral channel that compounds, rather than a quick meeting. Each bucket gets its own copy.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C9D6" w:sz="4"/>
              <w:left w:val="single" w:color="5B4FCF" w:sz="24"/>
              <w:bottom w:val="single" w:color="C9C9D6" w:sz="4"/>
              <w:right w:val="single" w:color="C9C9D6" w:sz="4"/>
            </w:tcBorders>
            <w:shd w:fill="EEEDFA" w:color="auto" w:val="clear"/>
            <w:tcMar>
              <w:top w:type="dxa" w:w="100"/>
              <w:left w:type="dxa" w:w="160"/>
              <w:bottom w:type="dxa" w:w="100"/>
              <w:right w:type="dxa" w:w="140"/>
            </w:tcMar>
          </w:tcPr>
          <w:p>
            <w:pPr>
              <w:spacing w:after="60"/>
            </w:pPr>
            <w:r>
              <w:rPr>
                <w:b/>
                <w:bCs/>
                <w:sz w:val="20"/>
                <w:szCs w:val="20"/>
              </w:rPr>
              <w:t xml:space="preserve">Two questions for Indigo:</w:t>
            </w:r>
            <w:r>
              <w:rPr>
                <w:sz w:val="20"/>
                <w:szCs w:val="20"/>
              </w:rPr>
              <w:t xml:space="preserve"> is there an existing partner or referral program these groups can be pointed to, and would Josh or an instructor run short info sessions? Both make the offer much easier to accept.</w:t>
            </w:r>
          </w:p>
        </w:tc>
      </w:tr>
    </w:tbl>
    <w:p>
      <w:pPr>
        <w:pStyle w:val="Heading1"/>
        <w:spacing w:after="140" w:before="280"/>
      </w:pPr>
      <w:r>
        <w:t xml:space="preserve">7. Workstream 4: Existing lead re-engagement</w:t>
      </w:r>
    </w:p>
    <w:p>
      <w:pPr>
        <w:pStyle w:val="Heading3"/>
        <w:spacing w:after="80" w:before="160"/>
      </w:pPr>
      <w:r>
        <w:t xml:space="preserve">Scope</w:t>
      </w:r>
    </w:p>
    <w:p>
      <w:pPr>
        <w:pStyle w:val="ListParagraph"/>
        <w:numPr>
          <w:ilvl w:val="0"/>
          <w:numId w:val="2"/>
        </w:numPr>
        <w:spacing w:after="60"/>
      </w:pPr>
      <w:r>
        <w:t xml:space="preserve">A measured slice of the roughly 90,000 job-board applicants in your CRM, tagged to the pilot campuses, with priority on women 18 to 25.</w:t>
      </w:r>
    </w:p>
    <w:p>
      <w:pPr>
        <w:pStyle w:val="ListParagraph"/>
        <w:numPr>
          <w:ilvl w:val="0"/>
          <w:numId w:val="2"/>
        </w:numPr>
        <w:spacing w:after="60"/>
      </w:pPr>
      <w:r>
        <w:t xml:space="preserve">Short, plain messages that say who Indigo is, why the person is hearing from it, and what has changed: the new platform and the next class date.</w:t>
      </w:r>
    </w:p>
    <w:p>
      <w:pPr>
        <w:pStyle w:val="Heading3"/>
        <w:spacing w:after="80" w:before="160"/>
      </w:pPr>
      <w:r>
        <w:t xml:space="preserve">What we measure</w:t>
      </w:r>
    </w:p>
    <w:p>
      <w:pPr>
        <w:pStyle w:val="ListParagraph"/>
        <w:numPr>
          <w:ilvl w:val="0"/>
          <w:numId w:val="2"/>
        </w:numPr>
        <w:spacing w:after="60"/>
      </w:pPr>
      <w:r>
        <w:t xml:space="preserve">Reply rate, screening-call rate and enrollments per 1,000 contacted, so you can compare the cost per enrollment with job boards directly.</w:t>
      </w:r>
    </w:p>
    <w:p>
      <w:pPr>
        <w:pStyle w:val="Heading3"/>
        <w:spacing w:after="80" w:before="160"/>
      </w:pPr>
      <w:r>
        <w:t xml:space="preserve">Conditions</w:t>
      </w:r>
    </w:p>
    <w:p>
      <w:pPr>
        <w:pStyle w:val="ListParagraph"/>
        <w:numPr>
          <w:ilvl w:val="0"/>
          <w:numId w:val="2"/>
        </w:numPr>
        <w:spacing w:after="60"/>
      </w:pPr>
      <w:r>
        <w:t xml:space="preserve">Indigo confirms what email consent exists on the leads. Kim is the natural reviewer.</w:t>
      </w:r>
    </w:p>
    <w:p>
      <w:pPr>
        <w:pStyle w:val="ListParagraph"/>
        <w:numPr>
          <w:ilvl w:val="0"/>
          <w:numId w:val="2"/>
        </w:numPr>
        <w:spacing w:after="60"/>
      </w:pPr>
      <w:r>
        <w:t xml:space="preserve">Indigo’s sales team runs the screening and second interviews as it does today (S1). We hand off, we do not replace.</w:t>
      </w:r>
    </w:p>
    <w:p>
      <w:pPr>
        <w:pStyle w:val="Heading1"/>
        <w:spacing w:after="140" w:before="280"/>
      </w:pPr>
      <w:r>
        <w:t xml:space="preserve">8. What a location includes, and investment</w:t>
      </w:r>
    </w:p>
    <w:p>
      <w:pPr>
        <w:spacing w:after="120" w:before="0"/>
      </w:pPr>
      <w:r>
        <w:t xml:space="preserve">A location is a campus city for the school, or a state for test prep. Each location gets the same fixed set of work, so you know what you are buying and the cost holds as you scale.</w:t>
      </w:r>
    </w:p>
    <w:p>
      <w:pPr>
        <w:pStyle w:val="Heading3"/>
        <w:spacing w:after="80" w:before="160"/>
      </w:pPr>
      <w:r>
        <w:t xml:space="preserve">Included per location</w:t>
      </w:r>
    </w:p>
    <w:p>
      <w:pPr>
        <w:pStyle w:val="ListParagraph"/>
        <w:numPr>
          <w:ilvl w:val="0"/>
          <w:numId w:val="2"/>
        </w:numPr>
        <w:spacing w:after="60"/>
      </w:pPr>
      <w:r>
        <w:t xml:space="preserve">Market mapping and list building for every workstream that applies to that location (up to four campaigns, with segment and angle testing inside each).</w:t>
      </w:r>
    </w:p>
    <w:p>
      <w:pPr>
        <w:pStyle w:val="ListParagraph"/>
        <w:numPr>
          <w:ilvl w:val="0"/>
          <w:numId w:val="2"/>
        </w:numPr>
        <w:spacing w:after="60"/>
      </w:pPr>
      <w:r>
        <w:t xml:space="preserve">Copy written for your approval, in Indigo’s voice. Nothing sends without sign-off.</w:t>
      </w:r>
    </w:p>
    <w:p>
      <w:pPr>
        <w:pStyle w:val="ListParagraph"/>
        <w:numPr>
          <w:ilvl w:val="0"/>
          <w:numId w:val="2"/>
        </w:numPr>
        <w:spacing w:after="60"/>
      </w:pPr>
      <w:r>
        <w:t xml:space="preserve">Sending infrastructure branded to Indigo, monitored for deliverability.</w:t>
      </w:r>
    </w:p>
    <w:p>
      <w:pPr>
        <w:pStyle w:val="ListParagraph"/>
        <w:numPr>
          <w:ilvl w:val="0"/>
          <w:numId w:val="2"/>
        </w:numPr>
        <w:spacing w:after="60"/>
      </w:pPr>
      <w:r>
        <w:t xml:space="preserve">Reply handling and objection handling by people, with AI assistance.</w:t>
      </w:r>
    </w:p>
    <w:p>
      <w:pPr>
        <w:pStyle w:val="ListParagraph"/>
        <w:numPr>
          <w:ilvl w:val="0"/>
          <w:numId w:val="2"/>
        </w:numPr>
        <w:spacing w:after="60"/>
      </w:pPr>
      <w:r>
        <w:t xml:space="preserve">Meetings booked on your team’s calendar with context on why each prospect was contacted.</w:t>
      </w:r>
    </w:p>
    <w:p>
      <w:pPr>
        <w:pStyle w:val="ListParagraph"/>
        <w:numPr>
          <w:ilvl w:val="0"/>
          <w:numId w:val="2"/>
        </w:numPr>
        <w:spacing w:after="60"/>
      </w:pPr>
      <w:r>
        <w:t xml:space="preserve">Dashboard access and a monthly review of what is working.</w:t>
      </w:r>
    </w:p>
    <w:p>
      <w:pPr>
        <w:pStyle w:val="Heading3"/>
        <w:spacing w:after="80" w:before="160"/>
      </w:pPr>
      <w:r>
        <w:t xml:space="preserve">Investment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val="false"/>
        </w:trPr>
        <w:tc>
          <w:tcPr>
            <w:tcW w:type="dxa" w:w="3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Implementation</w:t>
            </w:r>
          </w:p>
        </w:tc>
        <w:tc>
          <w:tcPr>
            <w:tcW w:type="dxa" w:w="61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$2,000, once, due at agreement. Covers domains and warm-up, CRM integration, the onboarding workshop and the first location’s market mapping.</w:t>
            </w:r>
          </w:p>
        </w:tc>
      </w:tr>
      <w:tr>
        <w:trPr>
          <w:cantSplit w:val="false"/>
        </w:trPr>
        <w:tc>
          <w:tcPr>
            <w:tcW w:type="dxa" w:w="3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First location</w:t>
            </w:r>
          </w:p>
        </w:tc>
        <w:tc>
          <w:tcPr>
            <w:tcW w:type="dxa" w:w="61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$5,000 per month. Our standard package, with CRM integration included.</w:t>
            </w:r>
          </w:p>
        </w:tc>
      </w:tr>
      <w:tr>
        <w:trPr>
          <w:cantSplit w:val="false"/>
        </w:trPr>
        <w:tc>
          <w:tcPr>
            <w:tcW w:type="dxa" w:w="3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Each additional location</w:t>
            </w:r>
          </w:p>
        </w:tc>
        <w:tc>
          <w:tcPr>
            <w:tcW w:type="dxa" w:w="61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$3,000 per month. No additional implementation fee, since all locations share one CRM and one sending infrastructure. Adding a location is new data and new copy, not new setup.</w:t>
            </w:r>
          </w:p>
        </w:tc>
      </w:tr>
      <w:tr>
        <w:trPr>
          <w:cantSplit w:val="false"/>
        </w:trPr>
        <w:tc>
          <w:tcPr>
            <w:tcW w:type="dxa" w:w="3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Term</w:t>
            </w:r>
          </w:p>
        </w:tc>
        <w:tc>
          <w:tcPr>
            <w:tcW w:type="dxa" w:w="61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Four-month pilot with a 14-day exit provision, so you can stop if it is not working. Final terms are confirmed in the agreement.</w:t>
            </w:r>
          </w:p>
        </w:tc>
      </w:tr>
      <w:tr>
        <w:trPr>
          <w:cantSplit w:val="false"/>
        </w:trPr>
        <w:tc>
          <w:tcPr>
            <w:tcW w:type="dxa" w:w="32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Optional add-ons</w:t>
            </w:r>
          </w:p>
        </w:tc>
        <w:tc>
          <w:tcPr>
            <w:tcW w:type="dxa" w:w="61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LinkedIn outreach and warm calling, priced separately if you want them later.</w:t>
            </w:r>
          </w:p>
        </w:tc>
      </w:tr>
    </w:tbl>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360"/>
      </w:tblGrid>
      <w:tr>
        <w:trPr>
          <w:tblHeader/>
        </w:trPr>
        <w:tc>
          <w:tcPr>
            <w:tcW w:type="dxa" w:w="26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Example</w:t>
            </w:r>
          </w:p>
        </w:tc>
        <w:tc>
          <w:tcPr>
            <w:tcW w:type="dxa" w:w="22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Monthly</w:t>
            </w:r>
          </w:p>
        </w:tc>
        <w:tc>
          <w:tcPr>
            <w:tcW w:type="dxa" w:w="22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Four-month pilot</w:t>
            </w:r>
          </w:p>
        </w:tc>
        <w:tc>
          <w:tcPr>
            <w:tcW w:type="dxa" w:w="23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Includes</w:t>
            </w:r>
          </w:p>
        </w:tc>
      </w:tr>
      <w:tr>
        <w:trPr>
          <w:cantSplit w:val="false"/>
        </w:trPr>
        <w:tc>
          <w:tcPr>
            <w:tcW w:type="dxa" w:w="2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One location</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$5,000</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$22,000</w:t>
            </w:r>
          </w:p>
        </w:tc>
        <w:tc>
          <w:tcPr>
            <w:tcW w:type="dxa" w:w="2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One campus city or one state</w:t>
            </w:r>
          </w:p>
        </w:tc>
      </w:tr>
      <w:tr>
        <w:trPr>
          <w:cantSplit w:val="false"/>
        </w:trPr>
        <w:tc>
          <w:tcPr>
            <w:tcW w:type="dxa" w:w="2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Two locations</w:t>
            </w:r>
          </w:p>
        </w:tc>
        <w:tc>
          <w:tcPr>
            <w:tcW w:type="dxa" w:w="22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$8,000</w:t>
            </w:r>
          </w:p>
        </w:tc>
        <w:tc>
          <w:tcPr>
            <w:tcW w:type="dxa" w:w="22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$34,000</w:t>
            </w:r>
          </w:p>
        </w:tc>
        <w:tc>
          <w:tcPr>
            <w:tcW w:type="dxa" w:w="2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For example Myrtle Beach plus Arizona test prep</w:t>
            </w:r>
          </w:p>
        </w:tc>
      </w:tr>
      <w:tr>
        <w:trPr>
          <w:cantSplit w:val="false"/>
        </w:trPr>
        <w:tc>
          <w:tcPr>
            <w:tcW w:type="dxa" w:w="2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Three locations</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$11,000</w:t>
            </w:r>
          </w:p>
        </w:tc>
        <w:tc>
          <w:tcPr>
            <w:tcW w:type="dxa" w:w="22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$46,000</w:t>
            </w:r>
          </w:p>
        </w:tc>
        <w:tc>
          <w:tcPr>
            <w:tcW w:type="dxa" w:w="2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Two campus cities plus Arizona</w:t>
            </w:r>
          </w:p>
        </w:tc>
      </w:tr>
    </w:tbl>
    <w:p>
      <w:pPr>
        <w:spacing w:after="120" w:before="40"/>
      </w:pPr>
      <w:r>
        <w:t xml:space="preserve">Pilot totals include the $2,000 implementation fee.</w:t>
      </w:r>
    </w:p>
    <w:p>
      <w:pPr>
        <w:pStyle w:val="Heading3"/>
        <w:spacing w:after="80" w:before="160"/>
      </w:pPr>
      <w:r>
        <w:t xml:space="preserve">A simple way to judge return</w:t>
      </w:r>
    </w:p>
    <w:p>
      <w:pPr>
        <w:spacing w:after="120" w:before="0"/>
      </w:pPr>
      <w:r>
        <w:t xml:space="preserve">Indigo’s published tuition range is $6,500 to $8,500 (S2). A one-location pilot at $22,000 pays back at roughly three enrollments before your cost to serve. Test prep return depends on a course price we do not yet have; send it and we will model it.</w:t>
      </w:r>
    </w:p>
    <w:p>
      <w:pPr>
        <w:pStyle w:val="Heading1"/>
        <w:spacing w:after="140" w:before="280"/>
      </w:pPr>
      <w:r>
        <w:t xml:space="preserve">9.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tblHeader/>
        </w:trPr>
        <w:tc>
          <w:tcPr>
            <w:tcW w:type="dxa" w:w="19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Phase</w:t>
            </w:r>
          </w:p>
        </w:tc>
        <w:tc>
          <w:tcPr>
            <w:tcW w:type="dxa" w:w="74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What happens</w:t>
            </w:r>
          </w:p>
        </w:tc>
      </w:tr>
      <w:tr>
        <w:trPr>
          <w:cantSplit w:val="false"/>
        </w:trPr>
        <w:tc>
          <w:tcPr>
            <w:tcW w:type="dxa" w:w="19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Weeks 1 to 2</w:t>
            </w:r>
          </w:p>
        </w:tc>
        <w:tc>
          <w:tcPr>
            <w:tcW w:type="dxa" w:w="74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Onboarding form, domains and warm-up, CRM integration, market mapping with list counts shared, strategy session, copy for approval.</w:t>
            </w:r>
          </w:p>
        </w:tc>
      </w:tr>
      <w:tr>
        <w:trPr>
          <w:cantSplit w:val="false"/>
        </w:trPr>
        <w:tc>
          <w:tcPr>
            <w:tcW w:type="dxa" w:w="19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Weeks 3 to 6</w:t>
            </w:r>
          </w:p>
        </w:tc>
        <w:tc>
          <w:tcPr>
            <w:tcW w:type="dxa" w:w="74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Launch test prep and office partnerships first. Add gatekeepers and the lead re-engagement slice. First meetings typically arrive in the first weeks after launch.</w:t>
            </w:r>
          </w:p>
        </w:tc>
      </w:tr>
      <w:tr>
        <w:trPr>
          <w:cantSplit w:val="false"/>
        </w:trPr>
        <w:tc>
          <w:tcPr>
            <w:tcW w:type="dxa" w:w="19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Weeks 7 to 12</w:t>
            </w:r>
          </w:p>
        </w:tc>
        <w:tc>
          <w:tcPr>
            <w:tcW w:type="dxa" w:w="74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Read results by workstream and by location. Cut what is not working, move budget toward what is.</w:t>
            </w:r>
          </w:p>
        </w:tc>
      </w:tr>
      <w:tr>
        <w:trPr>
          <w:cantSplit w:val="false"/>
        </w:trPr>
        <w:tc>
          <w:tcPr>
            <w:tcW w:type="dxa" w:w="19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Week 13 and beyond</w:t>
            </w:r>
          </w:p>
        </w:tc>
        <w:tc>
          <w:tcPr>
            <w:tcW w:type="dxa" w:w="74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Add states and campuses, add channels such as LinkedIn or calling, decide on extension.</w:t>
            </w:r>
          </w:p>
        </w:tc>
      </w:tr>
    </w:tbl>
    <w:p>
      <w:pPr>
        <w:pStyle w:val="Heading1"/>
        <w:spacing w:after="140" w:before="280"/>
      </w:pPr>
      <w:r>
        <w:t xml:space="preserve">10. Next steps and open questions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2000"/>
        <w:gridCol w:w="2760"/>
      </w:tblGrid>
      <w:tr>
        <w:trPr>
          <w:tblHeader/>
        </w:trPr>
        <w:tc>
          <w:tcPr>
            <w:tcW w:type="dxa" w:w="46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Action</w:t>
            </w:r>
          </w:p>
        </w:tc>
        <w:tc>
          <w:tcPr>
            <w:tcW w:type="dxa" w:w="200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Owner</w:t>
            </w:r>
          </w:p>
        </w:tc>
        <w:tc>
          <w:tcPr>
            <w:tcW w:type="dxa" w:w="2760"/>
            <w:tcBorders>
              <w:top w:val="single" w:color="C9C9D6" w:sz="4"/>
              <w:left w:val="single" w:color="C9C9D6" w:sz="4"/>
              <w:bottom w:val="single" w:color="C9C9D6" w:sz="4"/>
              <w:right w:val="single" w:color="C9C9D6" w:sz="4"/>
            </w:tcBorders>
            <w:shd w:fill="26235F" w:color="auto" w:val="clear"/>
            <w:tcMar>
              <w:top w:type="dxa" w:w="70"/>
              <w:left w:type="dxa" w:w="110"/>
              <w:bottom w:type="dxa" w:w="70"/>
              <w:right w:type="dxa" w:w="110"/>
            </w:tcMar>
          </w:tcPr>
          <w:p>
            <w:pPr>
              <w:spacing w:after="50"/>
            </w:pPr>
            <w:r>
              <w:rPr>
                <w:b/>
                <w:bCs/>
                <w:color w:val="FFFFFF"/>
                <w:sz w:val="19"/>
                <w:szCs w:val="19"/>
              </w:rPr>
              <w:t xml:space="preserve">When</w:t>
            </w:r>
          </w:p>
        </w:tc>
      </w:tr>
      <w:tr>
        <w:trPr>
          <w:cantSplit w:val="false"/>
        </w:trPr>
        <w:tc>
          <w:tcPr>
            <w:tcW w:type="dxa" w:w="4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Review this brief and reply with notes</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Before October 26</w:t>
            </w:r>
          </w:p>
        </w:tc>
      </w:tr>
      <w:tr>
        <w:trPr>
          <w:cantSplit w:val="false"/>
        </w:trPr>
        <w:tc>
          <w:tcPr>
            <w:tcW w:type="dxa" w:w="4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Walk through the plan and pricing together</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Josh, Kim, Nick</w:t>
            </w:r>
          </w:p>
        </w:tc>
        <w:tc>
          <w:tcPr>
            <w:tcW w:type="dxa" w:w="27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Monday, October 26, 1:00 PM ET / 10:00 AM PT</w:t>
            </w:r>
          </w:p>
        </w:tc>
      </w:tr>
      <w:tr>
        <w:trPr>
          <w:cantSplit w:val="false"/>
        </w:trPr>
        <w:tc>
          <w:tcPr>
            <w:tcW w:type="dxa" w:w="4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Send the states where both programs apply and where only one does</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Before October 26 if possible</w:t>
            </w:r>
          </w:p>
        </w:tc>
      </w:tr>
      <w:tr>
        <w:trPr>
          <w:cantSplit w:val="false"/>
        </w:trPr>
        <w:tc>
          <w:tcPr>
            <w:tcW w:type="dxa" w:w="4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Confirm the two pilot campus cities</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October 26</w:t>
            </w:r>
          </w:p>
        </w:tc>
      </w:tr>
      <w:tr>
        <w:trPr>
          <w:cantSplit w:val="false"/>
        </w:trPr>
        <w:tc>
          <w:tcPr>
            <w:tcW w:type="dxa" w:w="4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Share test prep price, exams covered, and how it is sold</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October 26</w:t>
            </w:r>
          </w:p>
        </w:tc>
      </w:tr>
      <w:tr>
        <w:trPr>
          <w:cantSplit w:val="false"/>
        </w:trPr>
        <w:tc>
          <w:tcPr>
            <w:tcW w:type="dxa" w:w="4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Confirm whether a partner or referral program exists, and appetite for info sessions</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October 26</w:t>
            </w:r>
          </w:p>
        </w:tc>
      </w:tr>
      <w:tr>
        <w:trPr>
          <w:cantSplit w:val="false"/>
        </w:trPr>
        <w:tc>
          <w:tcPr>
            <w:tcW w:type="dxa" w:w="46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Confirm consent status on the existing leads</w:t>
            </w:r>
          </w:p>
        </w:tc>
        <w:tc>
          <w:tcPr>
            <w:tcW w:type="dxa" w:w="200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Kim</w:t>
            </w:r>
          </w:p>
        </w:tc>
        <w:tc>
          <w:tcPr>
            <w:tcW w:type="dxa" w:w="27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Before the re-engagement slice launches</w:t>
            </w:r>
          </w:p>
        </w:tc>
      </w:tr>
      <w:tr>
        <w:trPr>
          <w:cantSplit w:val="false"/>
        </w:trPr>
        <w:tc>
          <w:tcPr>
            <w:tcW w:type="dxa" w:w="46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Share the brief with the new marketing hire</w:t>
            </w:r>
          </w:p>
        </w:tc>
        <w:tc>
          <w:tcPr>
            <w:tcW w:type="dxa" w:w="200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Josh, Kim</w:t>
            </w:r>
          </w:p>
        </w:tc>
        <w:tc>
          <w:tcPr>
            <w:tcW w:type="dxa" w:w="27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When hired</w:t>
            </w:r>
          </w:p>
        </w:tc>
      </w:tr>
    </w:tbl>
    <w:p>
      <w:pPr>
        <w:pStyle w:val="Heading1"/>
        <w:spacing w:after="140" w:before="280"/>
      </w:pPr>
      <w:r>
        <w:t xml:space="preserve">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8360"/>
      </w:tblGrid>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S1</w:t>
            </w:r>
          </w:p>
        </w:tc>
        <w:tc>
          <w:tcPr>
            <w:tcW w:type="dxa" w:w="8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Fireflies recording, Buzzlead Discovery Call: Joshua Twiss and Nick Konstantinidis, October 20, 2026. https://app.fireflies.ai/view/01M5D7RW5C6DW2B6AV20X8C7EF</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S2</w:t>
            </w:r>
          </w:p>
        </w:tc>
        <w:tc>
          <w:tcPr>
            <w:tcW w:type="dxa" w:w="8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Indigo Institute home page. https://indigoinstitute.com/</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S3</w:t>
            </w:r>
          </w:p>
        </w:tc>
        <w:tc>
          <w:tcPr>
            <w:tcW w:type="dxa" w:w="8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Indigo Institute, National Programs We Offer. https://indigoinstitute.com/national-programs-we-offer.html</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S4</w:t>
            </w:r>
          </w:p>
        </w:tc>
        <w:tc>
          <w:tcPr>
            <w:tcW w:type="dxa" w:w="8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Indigo Institute, About Us (Indigo Promise). https://indigoinstitute.com/about-us.html</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S5</w:t>
            </w:r>
          </w:p>
        </w:tc>
        <w:tc>
          <w:tcPr>
            <w:tcW w:type="dxa" w:w="8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DANB, Arizona radiography requirements. https://danb.org/state-requirements/arizona-radiography</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S6</w:t>
            </w:r>
          </w:p>
        </w:tc>
        <w:tc>
          <w:tcPr>
            <w:tcW w:type="dxa" w:w="8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DANB, Arizona coronal polishing requirements. https://www.danb.org/state-requirements/arizona-dental-assistant-qualified-in-coronal-polishing</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S7</w:t>
            </w:r>
          </w:p>
        </w:tc>
        <w:tc>
          <w:tcPr>
            <w:tcW w:type="dxa" w:w="8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Orbital, Dental practices in Arizona (directory counts). https://withorbital.com/data/dental/arizona</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S8</w:t>
            </w:r>
          </w:p>
        </w:tc>
        <w:tc>
          <w:tcPr>
            <w:tcW w:type="dxa" w:w="8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Arizona House of Representatives, SB 1124 summary. https://www.azleg.gov/legtext/57leg/1R/summary/H.SB1124_031025_SIGNED.DOCX.htm</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S9</w:t>
            </w:r>
          </w:p>
        </w:tc>
        <w:tc>
          <w:tcPr>
            <w:tcW w:type="dxa" w:w="8360"/>
            <w:tcBorders>
              <w:top w:val="single" w:color="C9C9D6" w:sz="4"/>
              <w:left w:val="single" w:color="C9C9D6" w:sz="4"/>
              <w:bottom w:val="single" w:color="C9C9D6" w:sz="4"/>
              <w:right w:val="single" w:color="C9C9D6" w:sz="4"/>
            </w:tcBorders>
            <w:tcMar>
              <w:top w:type="dxa" w:w="70"/>
              <w:left w:type="dxa" w:w="110"/>
              <w:bottom w:type="dxa" w:w="70"/>
              <w:right w:type="dxa" w:w="110"/>
            </w:tcMar>
          </w:tcPr>
          <w:p>
            <w:pPr>
              <w:spacing w:after="50"/>
            </w:pPr>
            <w:r>
              <w:rPr>
                <w:sz w:val="19"/>
                <w:szCs w:val="19"/>
              </w:rPr>
              <w:t xml:space="preserve">Becker’s Dental Review, dentists affiliated with a DSO by state (ADA HPI, 2023 data). https://beckersdental.com/benchmarking/44284-1-in-7-us-dentists-affiliated-with-a-dso-state-by-state-breakdown.html</w:t>
            </w:r>
          </w:p>
        </w:tc>
      </w:tr>
      <w:tr>
        <w:trPr>
          <w:cantSplit w:val="false"/>
        </w:trPr>
        <w:tc>
          <w:tcPr>
            <w:tcW w:type="dxa" w:w="1000"/>
            <w:tcBorders>
              <w:top w:val="single" w:color="C9C9D6" w:sz="4"/>
              <w:left w:val="single" w:color="C9C9D6" w:sz="4"/>
              <w:bottom w:val="single" w:color="C9C9D6" w:sz="4"/>
              <w:right w:val="single" w:color="C9C9D6" w:sz="4"/>
            </w:tcBorders>
            <w:shd w:fill="EEEDFA" w:color="auto" w:val="clear"/>
            <w:tcMar>
              <w:top w:type="dxa" w:w="70"/>
              <w:left w:type="dxa" w:w="110"/>
              <w:bottom w:type="dxa" w:w="70"/>
              <w:right w:type="dxa" w:w="110"/>
            </w:tcMar>
          </w:tcPr>
          <w:p>
            <w:pPr>
              <w:spacing w:after="50"/>
            </w:pPr>
            <w:r>
              <w:rPr>
                <w:sz w:val="19"/>
                <w:szCs w:val="19"/>
              </w:rPr>
              <w:t xml:space="preserve">S10</w:t>
            </w:r>
          </w:p>
        </w:tc>
        <w:tc>
          <w:tcPr>
            <w:tcW w:type="dxa" w:w="8360"/>
            <w:tcBorders>
              <w:top w:val="single" w:color="C9C9D6" w:sz="4"/>
              <w:left w:val="single" w:color="C9C9D6" w:sz="4"/>
              <w:bottom w:val="single" w:color="C9C9D6" w:sz="4"/>
              <w:right w:val="single" w:color="C9C9D6" w:sz="4"/>
            </w:tcBorders>
            <w:shd w:fill="F4F4F6" w:color="auto" w:val="clear"/>
            <w:tcMar>
              <w:top w:type="dxa" w:w="70"/>
              <w:left w:type="dxa" w:w="110"/>
              <w:bottom w:type="dxa" w:w="70"/>
              <w:right w:type="dxa" w:w="110"/>
            </w:tcMar>
          </w:tcPr>
          <w:p>
            <w:pPr>
              <w:spacing w:after="50"/>
            </w:pPr>
            <w:r>
              <w:rPr>
                <w:sz w:val="19"/>
                <w:szCs w:val="19"/>
              </w:rPr>
              <w:t xml:space="preserve">Becker’s Dental Review, The state of dentistry in Arizona: 12 stats. https://beckersdental.com/dentists/40178-the-state-of-dentistry-in-arizona-12-stats.html</w:t>
            </w:r>
          </w:p>
        </w:tc>
      </w:tr>
    </w:tbl>
    <w:sectPr>
      <w:footerReference w:type="default" r:id="rId7"/>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88"/>
        <w:sz w:val="16"/>
        <w:szCs w:val="16"/>
      </w:rPr>
      <w:t xml:space="preserve">Indigo Institute | Outbound Strategy Brief  |  Page </w:t>
    </w:r>
    <w:r>
      <w:rPr>
        <w:color w:val="7777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26235F"/>
      <w:sz w:val="32"/>
      <w:szCs w:val="32"/>
    </w:rPr>
  </w:style>
  <w:style w:type="paragraph" w:styleId="Heading2">
    <w:name w:val="Heading 2"/>
    <w:basedOn w:val="Normal"/>
    <w:next w:val="Normal"/>
    <w:qFormat/>
    <w:pPr>
      <w:spacing w:after="100" w:before="220"/>
      <w:outlineLvl w:val="1"/>
    </w:pPr>
    <w:rPr>
      <w:rFonts w:ascii="Arial" w:cs="Arial" w:eastAsia="Arial" w:hAnsi="Arial"/>
      <w:b/>
      <w:bCs/>
      <w:color w:val="5B4FCF"/>
      <w:sz w:val="26"/>
      <w:szCs w:val="26"/>
    </w:rPr>
  </w:style>
  <w:style w:type="paragraph" w:styleId="Heading3">
    <w:name w:val="Heading 3"/>
    <w:basedOn w:val="Normal"/>
    <w:next w:val="Normal"/>
    <w:qFormat/>
    <w:pPr>
      <w:spacing w:after="80" w:before="160"/>
      <w:outlineLvl w:val="2"/>
    </w:pPr>
    <w:rPr>
      <w:rFonts w:ascii="Arial" w:cs="Arial" w:eastAsia="Arial" w:hAnsi="Arial"/>
      <w:b/>
      <w:bCs/>
      <w:color w:val="26235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Indigo Institute | Outbound Strategy Brief</dc:title>
  <dc:creator>BuzzLead</dc:creator>
  <cp:lastModifiedBy>Un-named</cp:lastModifiedBy>
  <cp:revision>1</cp:revision>
  <dcterms:created xsi:type="dcterms:W3CDTF">2026-10-21T20:35:00.005Z</dcterms:created>
  <dcterms:modified xsi:type="dcterms:W3CDTF">2026-10-21T20:35:00.018Z</dcterms:modified>
</cp:coreProperties>
</file>

<file path=docProps/custom.xml><?xml version="1.0" encoding="utf-8"?>
<Properties xmlns="http://schemas.openxmlformats.org/officeDocument/2006/custom-properties" xmlns:vt="http://schemas.openxmlformats.org/officeDocument/2006/docPropsVTypes"/>
</file>